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C363A" w14:textId="77777777" w:rsidR="0000241F" w:rsidRDefault="00000000">
      <w:pPr>
        <w:spacing w:after="120"/>
        <w:jc w:val="center"/>
      </w:pPr>
      <w:r>
        <w:rPr>
          <w:noProof/>
        </w:rPr>
        <w:drawing>
          <wp:inline distT="0" distB="0" distL="0" distR="0" wp14:anchorId="6174AD69" wp14:editId="542D8443">
            <wp:extent cx="95250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952500" cy="952500"/>
                    </a:xfrm>
                    <a:prstGeom prst="rect">
                      <a:avLst/>
                    </a:prstGeom>
                  </pic:spPr>
                </pic:pic>
              </a:graphicData>
            </a:graphic>
          </wp:inline>
        </w:drawing>
      </w:r>
    </w:p>
    <w:p w14:paraId="5EA9381E" w14:textId="77777777" w:rsidR="0000241F" w:rsidRDefault="00000000">
      <w:pPr>
        <w:spacing w:after="80"/>
        <w:jc w:val="center"/>
      </w:pPr>
      <w:r>
        <w:rPr>
          <w:b/>
          <w:bCs/>
          <w:color w:val="5B2D8E"/>
          <w:sz w:val="44"/>
          <w:szCs w:val="44"/>
        </w:rPr>
        <w:t>What is the Rural Health Transformation Program?</w:t>
      </w:r>
    </w:p>
    <w:p w14:paraId="1CDACA37" w14:textId="77777777" w:rsidR="0000241F" w:rsidRDefault="00000000">
      <w:pPr>
        <w:spacing w:after="280"/>
        <w:jc w:val="center"/>
      </w:pPr>
      <w:r>
        <w:rPr>
          <w:color w:val="00B5AD"/>
        </w:rPr>
        <w:t xml:space="preserve">Opportunities for </w:t>
      </w:r>
      <w:proofErr w:type="gramStart"/>
      <w:r>
        <w:rPr>
          <w:color w:val="00B5AD"/>
        </w:rPr>
        <w:t>Providers  |</w:t>
      </w:r>
      <w:proofErr w:type="gramEnd"/>
      <w:r>
        <w:rPr>
          <w:color w:val="00B5AD"/>
        </w:rPr>
        <w:t xml:space="preserve">  Health Transformation Advisory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2340"/>
        <w:gridCol w:w="2340"/>
        <w:gridCol w:w="2340"/>
      </w:tblGrid>
      <w:tr w:rsidR="0000241F" w14:paraId="66E7D47D" w14:textId="77777777">
        <w:tblPrEx>
          <w:tblCellMar>
            <w:top w:w="0" w:type="dxa"/>
            <w:bottom w:w="0" w:type="dxa"/>
          </w:tblCellMar>
        </w:tblPrEx>
        <w:tc>
          <w:tcPr>
            <w:tcW w:w="2340" w:type="dxa"/>
            <w:shd w:val="clear" w:color="auto" w:fill="3A1A6E"/>
            <w:tcMar>
              <w:top w:w="160" w:type="dxa"/>
              <w:left w:w="160" w:type="dxa"/>
              <w:bottom w:w="160" w:type="dxa"/>
              <w:right w:w="160" w:type="dxa"/>
            </w:tcMar>
          </w:tcPr>
          <w:p w14:paraId="108C685D" w14:textId="77777777" w:rsidR="0000241F" w:rsidRDefault="00000000">
            <w:pPr>
              <w:jc w:val="center"/>
            </w:pPr>
            <w:r>
              <w:rPr>
                <w:b/>
                <w:bCs/>
                <w:color w:val="F5A623"/>
                <w:sz w:val="52"/>
                <w:szCs w:val="52"/>
              </w:rPr>
              <w:t>$50B</w:t>
            </w:r>
          </w:p>
          <w:p w14:paraId="758C7D17" w14:textId="77777777" w:rsidR="0000241F" w:rsidRDefault="00000000">
            <w:pPr>
              <w:jc w:val="center"/>
            </w:pPr>
            <w:r>
              <w:rPr>
                <w:color w:val="CCCCCC"/>
                <w:sz w:val="18"/>
                <w:szCs w:val="18"/>
              </w:rPr>
              <w:t>Federal Investment</w:t>
            </w:r>
          </w:p>
        </w:tc>
        <w:tc>
          <w:tcPr>
            <w:tcW w:w="2340" w:type="dxa"/>
            <w:shd w:val="clear" w:color="auto" w:fill="3A1A6E"/>
            <w:tcMar>
              <w:top w:w="160" w:type="dxa"/>
              <w:left w:w="160" w:type="dxa"/>
              <w:bottom w:w="160" w:type="dxa"/>
              <w:right w:w="160" w:type="dxa"/>
            </w:tcMar>
          </w:tcPr>
          <w:p w14:paraId="29A7DC3C" w14:textId="77777777" w:rsidR="0000241F" w:rsidRDefault="00000000">
            <w:pPr>
              <w:jc w:val="center"/>
            </w:pPr>
            <w:r>
              <w:rPr>
                <w:b/>
                <w:bCs/>
                <w:color w:val="F5A623"/>
                <w:sz w:val="52"/>
                <w:szCs w:val="52"/>
              </w:rPr>
              <w:t>$200M</w:t>
            </w:r>
          </w:p>
          <w:p w14:paraId="27B8AD75" w14:textId="77777777" w:rsidR="0000241F" w:rsidRDefault="00000000">
            <w:pPr>
              <w:jc w:val="center"/>
            </w:pPr>
            <w:r>
              <w:rPr>
                <w:color w:val="CCCCCC"/>
                <w:sz w:val="18"/>
                <w:szCs w:val="18"/>
              </w:rPr>
              <w:t>Avg Per State / Per Year</w:t>
            </w:r>
          </w:p>
        </w:tc>
        <w:tc>
          <w:tcPr>
            <w:tcW w:w="2340" w:type="dxa"/>
            <w:shd w:val="clear" w:color="auto" w:fill="3A1A6E"/>
            <w:tcMar>
              <w:top w:w="160" w:type="dxa"/>
              <w:left w:w="160" w:type="dxa"/>
              <w:bottom w:w="160" w:type="dxa"/>
              <w:right w:w="160" w:type="dxa"/>
            </w:tcMar>
          </w:tcPr>
          <w:p w14:paraId="72E33C2A" w14:textId="77777777" w:rsidR="0000241F" w:rsidRDefault="00000000">
            <w:pPr>
              <w:jc w:val="center"/>
            </w:pPr>
            <w:r>
              <w:rPr>
                <w:b/>
                <w:bCs/>
                <w:color w:val="F5A623"/>
                <w:sz w:val="52"/>
                <w:szCs w:val="52"/>
              </w:rPr>
              <w:t>5 Years</w:t>
            </w:r>
          </w:p>
          <w:p w14:paraId="12880F39" w14:textId="77777777" w:rsidR="0000241F" w:rsidRDefault="00000000">
            <w:pPr>
              <w:jc w:val="center"/>
            </w:pPr>
            <w:r>
              <w:rPr>
                <w:color w:val="CCCCCC"/>
                <w:sz w:val="18"/>
                <w:szCs w:val="18"/>
              </w:rPr>
              <w:t>Funding: 2026–2030</w:t>
            </w:r>
          </w:p>
        </w:tc>
        <w:tc>
          <w:tcPr>
            <w:tcW w:w="2340" w:type="dxa"/>
            <w:shd w:val="clear" w:color="auto" w:fill="3A1A6E"/>
            <w:tcMar>
              <w:top w:w="160" w:type="dxa"/>
              <w:left w:w="160" w:type="dxa"/>
              <w:bottom w:w="160" w:type="dxa"/>
              <w:right w:w="160" w:type="dxa"/>
            </w:tcMar>
          </w:tcPr>
          <w:p w14:paraId="08BCA9D8" w14:textId="77777777" w:rsidR="0000241F" w:rsidRDefault="00000000">
            <w:pPr>
              <w:jc w:val="center"/>
            </w:pPr>
            <w:r>
              <w:rPr>
                <w:b/>
                <w:bCs/>
                <w:color w:val="F5A623"/>
                <w:sz w:val="52"/>
                <w:szCs w:val="52"/>
              </w:rPr>
              <w:t>50</w:t>
            </w:r>
          </w:p>
          <w:p w14:paraId="48CC766B" w14:textId="77777777" w:rsidR="0000241F" w:rsidRDefault="00000000">
            <w:pPr>
              <w:jc w:val="center"/>
            </w:pPr>
            <w:r>
              <w:rPr>
                <w:color w:val="CCCCCC"/>
                <w:sz w:val="18"/>
                <w:szCs w:val="18"/>
              </w:rPr>
              <w:t>States Awarded</w:t>
            </w:r>
          </w:p>
        </w:tc>
      </w:tr>
    </w:tbl>
    <w:p w14:paraId="66CFB5A5" w14:textId="77777777" w:rsidR="0000241F" w:rsidRDefault="0000241F">
      <w:pPr>
        <w:spacing w:before="80" w:after="80"/>
      </w:pPr>
    </w:p>
    <w:p w14:paraId="49786CE8" w14:textId="77777777" w:rsidR="0000241F" w:rsidRDefault="00000000">
      <w:pPr>
        <w:pBdr>
          <w:bottom w:val="single" w:sz="4" w:space="4" w:color="00B5AD"/>
        </w:pBdr>
        <w:spacing w:before="320" w:after="120"/>
      </w:pPr>
      <w:r>
        <w:rPr>
          <w:b/>
          <w:bCs/>
          <w:color w:val="5B2D8E"/>
          <w:sz w:val="36"/>
          <w:szCs w:val="36"/>
        </w:rPr>
        <w:t>What is the Rural Health Transformation Program?</w:t>
      </w:r>
    </w:p>
    <w:p w14:paraId="2BF6E4B0" w14:textId="77777777" w:rsidR="0000241F" w:rsidRDefault="00000000">
      <w:pPr>
        <w:spacing w:before="60" w:after="100"/>
      </w:pPr>
      <w:r>
        <w:rPr>
          <w:color w:val="333333"/>
        </w:rPr>
        <w:t xml:space="preserve">The RHTP represents a once-in-a-generation </w:t>
      </w:r>
      <w:r>
        <w:rPr>
          <w:b/>
          <w:bCs/>
          <w:color w:val="333333"/>
        </w:rPr>
        <w:t>$50 billion federal investment</w:t>
      </w:r>
      <w:r>
        <w:rPr>
          <w:color w:val="333333"/>
        </w:rPr>
        <w:t xml:space="preserve"> in local health infrastructure. States were advised to target a budget of $200M per year for 5 years per state. Awards were announced on December 29, 2025, with funding flowing from 2026 through 2030. Awards ranged from $147M in New Jersey to $281M in Texas.</w:t>
      </w:r>
    </w:p>
    <w:p w14:paraId="39AFF6B3" w14:textId="77777777" w:rsidR="0000241F" w:rsidRDefault="00000000">
      <w:pPr>
        <w:spacing w:before="60" w:after="100"/>
      </w:pPr>
      <w:r>
        <w:rPr>
          <w:color w:val="333333"/>
        </w:rPr>
        <w:t>Half of the funds were distributed equally by approved states, with the remaining half based on the size of the rural population, the proportion of rural health facilities, and the financial position of specific rural hospitals in that state. The timeline to begin spending is ambitious — states are already issuing Notices of Funding and Requests for Proposals.</w:t>
      </w:r>
    </w:p>
    <w:p w14:paraId="2E9804CC" w14:textId="77777777" w:rsidR="0000241F" w:rsidRDefault="00000000">
      <w:pPr>
        <w:pBdr>
          <w:bottom w:val="single" w:sz="4" w:space="4" w:color="00B5AD"/>
        </w:pBdr>
        <w:spacing w:before="320" w:after="120"/>
      </w:pPr>
      <w:r>
        <w:rPr>
          <w:b/>
          <w:bCs/>
          <w:color w:val="5B2D8E"/>
          <w:sz w:val="36"/>
          <w:szCs w:val="36"/>
        </w:rPr>
        <w:t>What Are CMS' Goals?</w:t>
      </w:r>
    </w:p>
    <w:p w14:paraId="18FCE2CC" w14:textId="77777777" w:rsidR="0000241F" w:rsidRDefault="00000000">
      <w:pPr>
        <w:spacing w:before="60" w:after="100"/>
      </w:pPr>
      <w:r>
        <w:rPr>
          <w:color w:val="333333"/>
        </w:rPr>
        <w:t>While CMS issued a set of high-level strategic goals, each state submitted unique proposals creating varied implementation approaches. This reinforces a provider-first, community-first, locals-first approach.</w:t>
      </w:r>
    </w:p>
    <w:p w14:paraId="38957A09" w14:textId="77777777" w:rsidR="0000241F" w:rsidRDefault="00000000">
      <w:pPr>
        <w:spacing w:before="240" w:after="100"/>
      </w:pPr>
      <w:r>
        <w:rPr>
          <w:b/>
          <w:bCs/>
          <w:color w:val="5B2D8E"/>
          <w:sz w:val="28"/>
          <w:szCs w:val="28"/>
        </w:rPr>
        <w:t>CMS Strategic Goals</w:t>
      </w:r>
    </w:p>
    <w:p w14:paraId="59778183" w14:textId="77777777" w:rsidR="0000241F" w:rsidRDefault="00000000">
      <w:pPr>
        <w:pStyle w:val="ListParagraph"/>
        <w:numPr>
          <w:ilvl w:val="0"/>
          <w:numId w:val="2"/>
        </w:numPr>
        <w:spacing w:before="40" w:after="60"/>
      </w:pPr>
      <w:r>
        <w:rPr>
          <w:color w:val="333333"/>
        </w:rPr>
        <w:t>Make rural America healthy again</w:t>
      </w:r>
    </w:p>
    <w:p w14:paraId="58B05B0D" w14:textId="77777777" w:rsidR="0000241F" w:rsidRDefault="00000000">
      <w:pPr>
        <w:pStyle w:val="ListParagraph"/>
        <w:numPr>
          <w:ilvl w:val="0"/>
          <w:numId w:val="2"/>
        </w:numPr>
        <w:spacing w:before="40" w:after="60"/>
      </w:pPr>
      <w:r>
        <w:rPr>
          <w:color w:val="333333"/>
        </w:rPr>
        <w:t>Sustainable access</w:t>
      </w:r>
    </w:p>
    <w:p w14:paraId="00A1E11C" w14:textId="77777777" w:rsidR="0000241F" w:rsidRDefault="00000000">
      <w:pPr>
        <w:pStyle w:val="ListParagraph"/>
        <w:numPr>
          <w:ilvl w:val="0"/>
          <w:numId w:val="2"/>
        </w:numPr>
        <w:spacing w:before="40" w:after="60"/>
      </w:pPr>
      <w:r>
        <w:rPr>
          <w:color w:val="333333"/>
        </w:rPr>
        <w:t>Workforce development</w:t>
      </w:r>
    </w:p>
    <w:p w14:paraId="5D45AB6A" w14:textId="77777777" w:rsidR="0000241F" w:rsidRDefault="00000000">
      <w:pPr>
        <w:pStyle w:val="ListParagraph"/>
        <w:numPr>
          <w:ilvl w:val="0"/>
          <w:numId w:val="2"/>
        </w:numPr>
        <w:spacing w:before="40" w:after="60"/>
      </w:pPr>
      <w:r>
        <w:rPr>
          <w:color w:val="333333"/>
        </w:rPr>
        <w:t>Innovative care</w:t>
      </w:r>
    </w:p>
    <w:p w14:paraId="54CDDCD8" w14:textId="77777777" w:rsidR="0000241F" w:rsidRDefault="00000000">
      <w:pPr>
        <w:pStyle w:val="ListParagraph"/>
        <w:numPr>
          <w:ilvl w:val="0"/>
          <w:numId w:val="2"/>
        </w:numPr>
        <w:spacing w:before="40" w:after="60"/>
      </w:pPr>
      <w:r>
        <w:rPr>
          <w:color w:val="333333"/>
        </w:rPr>
        <w:t>Tech innovation</w:t>
      </w:r>
    </w:p>
    <w:p w14:paraId="789E3FE1" w14:textId="77777777" w:rsidR="0000241F" w:rsidRDefault="00000000">
      <w:pPr>
        <w:pBdr>
          <w:bottom w:val="single" w:sz="4" w:space="4" w:color="00B5AD"/>
        </w:pBdr>
        <w:spacing w:before="320" w:after="120"/>
      </w:pPr>
      <w:r>
        <w:rPr>
          <w:b/>
          <w:bCs/>
          <w:color w:val="5B2D8E"/>
          <w:sz w:val="36"/>
          <w:szCs w:val="36"/>
        </w:rPr>
        <w:t>How Should I Think About Participating and Why?</w:t>
      </w:r>
    </w:p>
    <w:p w14:paraId="6A058CC7" w14:textId="77777777" w:rsidR="0000241F" w:rsidRDefault="00000000">
      <w:pPr>
        <w:spacing w:before="240" w:after="100"/>
      </w:pPr>
      <w:r>
        <w:rPr>
          <w:b/>
          <w:bCs/>
          <w:color w:val="5B2D8E"/>
          <w:sz w:val="28"/>
          <w:szCs w:val="28"/>
        </w:rPr>
        <w:lastRenderedPageBreak/>
        <w:t>Mandatory Provider Partnership Structure</w:t>
      </w:r>
    </w:p>
    <w:p w14:paraId="71F699D0" w14:textId="77777777" w:rsidR="0000241F" w:rsidRDefault="00000000">
      <w:pPr>
        <w:spacing w:before="60" w:after="100"/>
      </w:pPr>
      <w:r>
        <w:rPr>
          <w:color w:val="333333"/>
        </w:rPr>
        <w:t>Many states are requiring on every RFP a provider lead who has experience in their rural populations with demonstrable outcomes. While it is critical to incorporate local experience, population behaviors and needs, and community organizations, it places a substantial burden on providers already facing significant financial distress.</w:t>
      </w:r>
    </w:p>
    <w:p w14:paraId="1C77B381" w14:textId="77777777" w:rsidR="0000241F" w:rsidRDefault="00000000">
      <w:pPr>
        <w:pBdr>
          <w:left w:val="single" w:sz="16" w:space="8" w:color="00B5AD"/>
        </w:pBdr>
        <w:shd w:val="clear" w:color="auto" w:fill="E0F7F6"/>
        <w:spacing w:before="120" w:after="120"/>
        <w:ind w:left="720"/>
      </w:pPr>
      <w:r>
        <w:rPr>
          <w:i/>
          <w:iCs/>
          <w:color w:val="1A5C5A"/>
        </w:rPr>
        <w:t>With the lack of infrastructure and resources, it is imperative for applicants to seek out best-in-class vendor partners who specialize in key functions that address CMS's goals of chronic care management, population health, workforce expansion, sustainable business models, and measurable outcomes.</w:t>
      </w:r>
    </w:p>
    <w:p w14:paraId="372E27EB" w14:textId="77777777" w:rsidR="0000241F" w:rsidRDefault="00000000">
      <w:pPr>
        <w:spacing w:before="60" w:after="100"/>
      </w:pPr>
      <w:r>
        <w:rPr>
          <w:color w:val="333333"/>
        </w:rPr>
        <w:t>Most rural providers disproportionately rely on Medicaid payments, which have been cut in 2026. In 2025, the NACHC stated: "Nearly half of health centers operate with unsustainable margins and 42 percent of health centers have only 90 days or less of cash reserves."</w:t>
      </w:r>
    </w:p>
    <w:p w14:paraId="00BE23DD" w14:textId="77777777" w:rsidR="0000241F" w:rsidRDefault="00000000">
      <w:pPr>
        <w:pBdr>
          <w:bottom w:val="single" w:sz="4" w:space="4" w:color="00B5AD"/>
        </w:pBdr>
        <w:spacing w:before="320" w:after="120"/>
      </w:pPr>
      <w:r>
        <w:rPr>
          <w:b/>
          <w:bCs/>
          <w:color w:val="5B2D8E"/>
          <w:sz w:val="36"/>
          <w:szCs w:val="36"/>
        </w:rPr>
        <w:t>What Not to Miss Out On?</w:t>
      </w:r>
    </w:p>
    <w:p w14:paraId="19727F53" w14:textId="77777777" w:rsidR="0000241F" w:rsidRDefault="00000000">
      <w:pPr>
        <w:spacing w:before="240" w:after="100"/>
      </w:pPr>
      <w:r>
        <w:rPr>
          <w:b/>
          <w:bCs/>
          <w:color w:val="5B2D8E"/>
          <w:sz w:val="28"/>
          <w:szCs w:val="28"/>
        </w:rPr>
        <w:t>Seize Capital Investment Opportunities</w:t>
      </w:r>
    </w:p>
    <w:p w14:paraId="588B42CF" w14:textId="77777777" w:rsidR="0000241F" w:rsidRDefault="00000000">
      <w:pPr>
        <w:pStyle w:val="ListParagraph"/>
        <w:numPr>
          <w:ilvl w:val="0"/>
          <w:numId w:val="2"/>
        </w:numPr>
        <w:spacing w:before="40" w:after="60"/>
      </w:pPr>
      <w:r>
        <w:rPr>
          <w:b/>
          <w:bCs/>
          <w:color w:val="333333"/>
        </w:rPr>
        <w:t xml:space="preserve">Rural clinic hub model: </w:t>
      </w:r>
    </w:p>
    <w:p w14:paraId="718ED241" w14:textId="77777777" w:rsidR="0000241F" w:rsidRDefault="00000000">
      <w:pPr>
        <w:spacing w:before="60" w:after="100"/>
      </w:pPr>
      <w:r>
        <w:rPr>
          <w:color w:val="333333"/>
        </w:rPr>
        <w:t>States are funding wraparound services including telehealth, consumer apps, and in-home visits around existing rural health clinics.</w:t>
      </w:r>
    </w:p>
    <w:p w14:paraId="0F25020D" w14:textId="77777777" w:rsidR="0000241F" w:rsidRDefault="00000000">
      <w:pPr>
        <w:pStyle w:val="ListParagraph"/>
        <w:numPr>
          <w:ilvl w:val="0"/>
          <w:numId w:val="2"/>
        </w:numPr>
        <w:spacing w:before="40" w:after="60"/>
      </w:pPr>
      <w:r>
        <w:rPr>
          <w:b/>
          <w:bCs/>
          <w:color w:val="333333"/>
        </w:rPr>
        <w:t xml:space="preserve">Value-based care acceleration: </w:t>
      </w:r>
    </w:p>
    <w:p w14:paraId="19CC58B5" w14:textId="77777777" w:rsidR="0000241F" w:rsidRDefault="00000000">
      <w:pPr>
        <w:spacing w:before="60" w:after="100"/>
      </w:pPr>
      <w:r>
        <w:rPr>
          <w:color w:val="333333"/>
        </w:rPr>
        <w:t>RHTP funds support team-based care infrastructure enabling qualification for advanced payment models (APMs).</w:t>
      </w:r>
    </w:p>
    <w:p w14:paraId="4F73E322" w14:textId="77777777" w:rsidR="0000241F" w:rsidRDefault="00000000">
      <w:pPr>
        <w:pStyle w:val="ListParagraph"/>
        <w:numPr>
          <w:ilvl w:val="0"/>
          <w:numId w:val="2"/>
        </w:numPr>
        <w:spacing w:before="40" w:after="60"/>
      </w:pPr>
      <w:r>
        <w:rPr>
          <w:b/>
          <w:bCs/>
          <w:color w:val="333333"/>
        </w:rPr>
        <w:t xml:space="preserve">Attributed lives expansion: </w:t>
      </w:r>
    </w:p>
    <w:p w14:paraId="2BDD5EDA" w14:textId="77777777" w:rsidR="0000241F" w:rsidRDefault="00000000">
      <w:pPr>
        <w:spacing w:before="60" w:after="100"/>
      </w:pPr>
      <w:r>
        <w:rPr>
          <w:color w:val="333333"/>
        </w:rPr>
        <w:t>RHTP funding addresses pent-up demand in health provider shortage areas to increase patient attribution, capitation payments, and downstream revenue capture.</w:t>
      </w:r>
    </w:p>
    <w:p w14:paraId="668CA051" w14:textId="77777777" w:rsidR="0000241F" w:rsidRDefault="00000000">
      <w:pPr>
        <w:spacing w:before="240" w:after="100"/>
      </w:pPr>
      <w:r>
        <w:rPr>
          <w:b/>
          <w:bCs/>
          <w:color w:val="5B2D8E"/>
          <w:sz w:val="28"/>
          <w:szCs w:val="28"/>
        </w:rPr>
        <w:t>Participate in Workforce Transformation Initiatives</w:t>
      </w:r>
    </w:p>
    <w:p w14:paraId="3BEF3C6F" w14:textId="77777777" w:rsidR="0000241F" w:rsidRDefault="00000000">
      <w:pPr>
        <w:pStyle w:val="ListParagraph"/>
        <w:numPr>
          <w:ilvl w:val="0"/>
          <w:numId w:val="2"/>
        </w:numPr>
        <w:spacing w:before="40" w:after="60"/>
      </w:pPr>
      <w:r>
        <w:rPr>
          <w:b/>
          <w:bCs/>
          <w:color w:val="333333"/>
        </w:rPr>
        <w:t xml:space="preserve">Expanded scope of practice: </w:t>
      </w:r>
    </w:p>
    <w:p w14:paraId="63EE5593" w14:textId="77777777" w:rsidR="0000241F" w:rsidRDefault="00000000">
      <w:pPr>
        <w:spacing w:before="60" w:after="100"/>
      </w:pPr>
      <w:r>
        <w:rPr>
          <w:color w:val="333333"/>
        </w:rPr>
        <w:t>States plan to implement expanded scopes for pharmacists, community health workers, CNA upskilling, dietitians, EMTs, and more.</w:t>
      </w:r>
    </w:p>
    <w:p w14:paraId="4955CDC8" w14:textId="77777777" w:rsidR="0000241F" w:rsidRDefault="00000000">
      <w:pPr>
        <w:pStyle w:val="ListParagraph"/>
        <w:numPr>
          <w:ilvl w:val="0"/>
          <w:numId w:val="2"/>
        </w:numPr>
        <w:spacing w:before="40" w:after="60"/>
      </w:pPr>
      <w:r>
        <w:rPr>
          <w:b/>
          <w:bCs/>
          <w:color w:val="333333"/>
        </w:rPr>
        <w:t xml:space="preserve">Clinician burnout reduction: </w:t>
      </w:r>
    </w:p>
    <w:p w14:paraId="7BC44247" w14:textId="77777777" w:rsidR="0000241F" w:rsidRDefault="00000000">
      <w:pPr>
        <w:spacing w:before="60" w:after="100"/>
      </w:pPr>
      <w:r>
        <w:rPr>
          <w:color w:val="333333"/>
        </w:rPr>
        <w:t>Lower-risk populations supported through other provider types, digital health apps, and remote monitoring — letting PCPs focus on more complex patients.</w:t>
      </w:r>
    </w:p>
    <w:p w14:paraId="332F88B7" w14:textId="77777777" w:rsidR="0000241F" w:rsidRDefault="00000000">
      <w:pPr>
        <w:pStyle w:val="ListParagraph"/>
        <w:numPr>
          <w:ilvl w:val="0"/>
          <w:numId w:val="2"/>
        </w:numPr>
        <w:spacing w:before="40" w:after="60"/>
      </w:pPr>
      <w:r>
        <w:rPr>
          <w:b/>
          <w:bCs/>
          <w:color w:val="333333"/>
        </w:rPr>
        <w:t xml:space="preserve">Clinical workflow influence: </w:t>
      </w:r>
    </w:p>
    <w:p w14:paraId="419CB61D" w14:textId="77777777" w:rsidR="0000241F" w:rsidRDefault="00000000">
      <w:pPr>
        <w:spacing w:before="60" w:after="100"/>
      </w:pPr>
      <w:r>
        <w:rPr>
          <w:color w:val="333333"/>
        </w:rPr>
        <w:t>Health systems must shape oversight protocols, staffing ratios, and integration standards for new workforce roles.</w:t>
      </w:r>
    </w:p>
    <w:p w14:paraId="34034403" w14:textId="77777777" w:rsidR="0000241F" w:rsidRDefault="00000000">
      <w:pPr>
        <w:spacing w:before="240" w:after="100"/>
      </w:pPr>
      <w:r>
        <w:rPr>
          <w:b/>
          <w:bCs/>
          <w:color w:val="5B2D8E"/>
          <w:sz w:val="28"/>
          <w:szCs w:val="28"/>
        </w:rPr>
        <w:t>Benefit from RHTP as an Innovation Lab</w:t>
      </w:r>
    </w:p>
    <w:p w14:paraId="7C54F9E2" w14:textId="77777777" w:rsidR="0000241F" w:rsidRDefault="00000000">
      <w:pPr>
        <w:pStyle w:val="ListParagraph"/>
        <w:numPr>
          <w:ilvl w:val="0"/>
          <w:numId w:val="2"/>
        </w:numPr>
        <w:spacing w:before="40" w:after="60"/>
      </w:pPr>
      <w:r>
        <w:rPr>
          <w:b/>
          <w:bCs/>
          <w:color w:val="333333"/>
        </w:rPr>
        <w:t xml:space="preserve">Consumer technology integration: </w:t>
      </w:r>
    </w:p>
    <w:p w14:paraId="6303484A" w14:textId="77777777" w:rsidR="0000241F" w:rsidRDefault="00000000">
      <w:pPr>
        <w:spacing w:before="60" w:after="100"/>
      </w:pPr>
      <w:r>
        <w:rPr>
          <w:color w:val="333333"/>
        </w:rPr>
        <w:t>Investment in chronic care management and maternity care platforms provides a testbed for clinical workflow integration.</w:t>
      </w:r>
    </w:p>
    <w:p w14:paraId="0FF91C06" w14:textId="77777777" w:rsidR="0000241F" w:rsidRDefault="00000000">
      <w:pPr>
        <w:pStyle w:val="ListParagraph"/>
        <w:numPr>
          <w:ilvl w:val="0"/>
          <w:numId w:val="2"/>
        </w:numPr>
        <w:spacing w:before="40" w:after="60"/>
      </w:pPr>
      <w:r>
        <w:rPr>
          <w:b/>
          <w:bCs/>
          <w:color w:val="333333"/>
        </w:rPr>
        <w:lastRenderedPageBreak/>
        <w:t xml:space="preserve">Population health at scale: </w:t>
      </w:r>
    </w:p>
    <w:p w14:paraId="62B4BD30" w14:textId="77777777" w:rsidR="0000241F" w:rsidRDefault="00000000">
      <w:pPr>
        <w:spacing w:before="60" w:after="100"/>
      </w:pPr>
      <w:r>
        <w:rPr>
          <w:color w:val="333333"/>
        </w:rPr>
        <w:t>Transition from episodic clinic visits to continuous population management.</w:t>
      </w:r>
    </w:p>
    <w:p w14:paraId="4ACABE51" w14:textId="77777777" w:rsidR="0000241F" w:rsidRDefault="00000000">
      <w:pPr>
        <w:pStyle w:val="ListParagraph"/>
        <w:numPr>
          <w:ilvl w:val="0"/>
          <w:numId w:val="2"/>
        </w:numPr>
        <w:spacing w:before="40" w:after="60"/>
      </w:pPr>
      <w:r>
        <w:rPr>
          <w:b/>
          <w:bCs/>
          <w:color w:val="333333"/>
        </w:rPr>
        <w:t xml:space="preserve">Outcomes-based payment preparation: </w:t>
      </w:r>
    </w:p>
    <w:p w14:paraId="5EF40822" w14:textId="77777777" w:rsidR="0000241F" w:rsidRDefault="00000000">
      <w:pPr>
        <w:spacing w:before="60" w:after="100"/>
      </w:pPr>
      <w:r>
        <w:rPr>
          <w:color w:val="333333"/>
        </w:rPr>
        <w:t>Test consumer-facing technologies under real-world conditions before broader CMMI deployment.</w:t>
      </w:r>
    </w:p>
    <w:p w14:paraId="52E8F0F8" w14:textId="77777777" w:rsidR="0000241F" w:rsidRDefault="00000000">
      <w:pPr>
        <w:pBdr>
          <w:bottom w:val="single" w:sz="4" w:space="4" w:color="00B5AD"/>
        </w:pBdr>
        <w:spacing w:before="320" w:after="120"/>
      </w:pPr>
      <w:r>
        <w:rPr>
          <w:b/>
          <w:bCs/>
          <w:color w:val="5B2D8E"/>
          <w:sz w:val="36"/>
          <w:szCs w:val="36"/>
        </w:rPr>
        <w:t>How National Players Can Help De-Risk Rural Health Systems</w:t>
      </w:r>
    </w:p>
    <w:p w14:paraId="4D713428" w14:textId="77777777" w:rsidR="0000241F" w:rsidRDefault="00000000">
      <w:pPr>
        <w:spacing w:before="60" w:after="100"/>
      </w:pPr>
      <w:r>
        <w:rPr>
          <w:color w:val="333333"/>
        </w:rPr>
        <w:t>Given the broad CMS strategic goals, rural providers will not be able to take on this aggressive ecosystem building alone. It will be imperative to include national players with proven models and health outcomes. We do not have the health system bandwidth or finances to reinvent the wheel.</w:t>
      </w:r>
    </w:p>
    <w:p w14:paraId="0AEAC91D" w14:textId="77777777" w:rsidR="0000241F" w:rsidRDefault="00000000">
      <w:pPr>
        <w:spacing w:before="240" w:after="100"/>
      </w:pPr>
      <w:r>
        <w:rPr>
          <w:b/>
          <w:bCs/>
          <w:color w:val="5B2D8E"/>
          <w:sz w:val="28"/>
          <w:szCs w:val="28"/>
        </w:rPr>
        <w:t>Where Can National Players Assist?</w:t>
      </w:r>
    </w:p>
    <w:p w14:paraId="6C320432" w14:textId="77777777" w:rsidR="0000241F" w:rsidRDefault="00000000">
      <w:pPr>
        <w:pStyle w:val="ListParagraph"/>
        <w:numPr>
          <w:ilvl w:val="0"/>
          <w:numId w:val="2"/>
        </w:numPr>
        <w:spacing w:before="40" w:after="60"/>
      </w:pPr>
      <w:r>
        <w:rPr>
          <w:color w:val="333333"/>
        </w:rPr>
        <w:t>Upfront Money: RHTP, when broken down to the clinic level, does not include enough for the scope of its ambitions. National players can contribute EHR connectivity, device-agnostic technology, and population health talent.</w:t>
      </w:r>
    </w:p>
    <w:p w14:paraId="55D7E7E0" w14:textId="77777777" w:rsidR="0000241F" w:rsidRDefault="00000000">
      <w:pPr>
        <w:pStyle w:val="ListParagraph"/>
        <w:numPr>
          <w:ilvl w:val="0"/>
          <w:numId w:val="2"/>
        </w:numPr>
        <w:spacing w:before="40" w:after="60"/>
      </w:pPr>
      <w:r>
        <w:rPr>
          <w:color w:val="333333"/>
        </w:rPr>
        <w:t>Integrate innovation at the point of care: Rethink how providers use population health data from multiple sources and make that data applicable across programs.</w:t>
      </w:r>
    </w:p>
    <w:p w14:paraId="56E76400" w14:textId="77777777" w:rsidR="0000241F" w:rsidRDefault="00000000">
      <w:pPr>
        <w:pStyle w:val="ListParagraph"/>
        <w:numPr>
          <w:ilvl w:val="0"/>
          <w:numId w:val="2"/>
        </w:numPr>
        <w:spacing w:before="40" w:after="60"/>
      </w:pPr>
      <w:r>
        <w:rPr>
          <w:color w:val="333333"/>
        </w:rPr>
        <w:t>Share national best practices: Best practices observed across states in funding, policy recommendations, and RFP responses benefit both providers and states.</w:t>
      </w:r>
    </w:p>
    <w:p w14:paraId="05F435DC" w14:textId="77777777" w:rsidR="0000241F" w:rsidRDefault="00000000">
      <w:pPr>
        <w:pStyle w:val="ListParagraph"/>
        <w:numPr>
          <w:ilvl w:val="0"/>
          <w:numId w:val="2"/>
        </w:numPr>
        <w:spacing w:before="40" w:after="60"/>
      </w:pPr>
      <w:r>
        <w:rPr>
          <w:color w:val="333333"/>
        </w:rPr>
        <w:t>Add proven wrap-around services: Best-in-class companies already servicing CMS pillars — multilingual patient education, AI-assisted engagement, virtual care, population dashboards.</w:t>
      </w:r>
    </w:p>
    <w:p w14:paraId="04C2F4F2" w14:textId="77777777" w:rsidR="0000241F" w:rsidRDefault="00000000">
      <w:pPr>
        <w:pStyle w:val="ListParagraph"/>
        <w:numPr>
          <w:ilvl w:val="0"/>
          <w:numId w:val="2"/>
        </w:numPr>
        <w:spacing w:before="40" w:after="60"/>
      </w:pPr>
      <w:r>
        <w:rPr>
          <w:color w:val="333333"/>
        </w:rPr>
        <w:t>Talent and expertise: Population health talent has resided in large health systems, MCOs, and consulting companies — this experience should be opened up to rural providers.</w:t>
      </w:r>
    </w:p>
    <w:p w14:paraId="463B87FC" w14:textId="77777777" w:rsidR="0000241F" w:rsidRDefault="00000000">
      <w:pPr>
        <w:pBdr>
          <w:bottom w:val="single" w:sz="4" w:space="4" w:color="00B5AD"/>
        </w:pBdr>
        <w:spacing w:before="320" w:after="120"/>
      </w:pPr>
      <w:r>
        <w:rPr>
          <w:b/>
          <w:bCs/>
          <w:color w:val="5B2D8E"/>
          <w:sz w:val="36"/>
          <w:szCs w:val="36"/>
        </w:rPr>
        <w:t>Next Steps</w:t>
      </w:r>
    </w:p>
    <w:p w14:paraId="74DC9E7E" w14:textId="77777777" w:rsidR="0000241F" w:rsidRDefault="00000000">
      <w:pPr>
        <w:spacing w:before="60" w:after="100"/>
      </w:pPr>
      <w:r>
        <w:rPr>
          <w:b/>
          <w:bCs/>
          <w:color w:val="333333"/>
        </w:rPr>
        <w:t xml:space="preserve">Create a Lock-and-Key Approach: </w:t>
      </w:r>
      <w:r>
        <w:rPr>
          <w:color w:val="333333"/>
        </w:rPr>
        <w:t>Combine national best practices with local tailoring rather than building from scratch in each community.</w:t>
      </w:r>
    </w:p>
    <w:p w14:paraId="4EB940B5" w14:textId="77777777" w:rsidR="0000241F" w:rsidRDefault="00000000">
      <w:pPr>
        <w:spacing w:before="60" w:after="100"/>
      </w:pPr>
      <w:r>
        <w:rPr>
          <w:color w:val="333333"/>
        </w:rPr>
        <w:t>States will need to pave the way for national players to participate with self-identified or designated regional provider leaders to make this easier, possible, and long-term sustainable for providers.</w:t>
      </w:r>
    </w:p>
    <w:p w14:paraId="33F44030" w14:textId="77777777" w:rsidR="0000241F" w:rsidRDefault="00000000">
      <w:pPr>
        <w:spacing w:before="60" w:after="100"/>
      </w:pPr>
      <w:r>
        <w:rPr>
          <w:color w:val="333333"/>
        </w:rPr>
        <w:t>Provider leaders who want to shape the future of rural healthcare will benefit from joining a coalition vs. having this environment shaped around them and for them without their input or bearing total financial and operational costs while already financially stressed.</w:t>
      </w:r>
    </w:p>
    <w:p w14:paraId="3C4F4283" w14:textId="77777777" w:rsidR="0000241F" w:rsidRDefault="0000241F">
      <w:pPr>
        <w:spacing w:before="80" w:after="80"/>
      </w:pPr>
    </w:p>
    <w:p w14:paraId="47B76399" w14:textId="77777777" w:rsidR="0000241F" w:rsidRDefault="00000000">
      <w:pPr>
        <w:jc w:val="center"/>
      </w:pPr>
      <w:r>
        <w:rPr>
          <w:color w:val="888888"/>
          <w:sz w:val="18"/>
          <w:szCs w:val="18"/>
        </w:rPr>
        <w:t>© 2026 Health Transformation Advisory</w:t>
      </w:r>
    </w:p>
    <w:sectPr w:rsidR="0000241F">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ato">
    <w:panose1 w:val="020F0502020204030203"/>
    <w:charset w:val="00"/>
    <w:family w:val="swiss"/>
    <w:pitch w:val="variable"/>
    <w:sig w:usb0="E10002FF" w:usb1="5000E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77D3E"/>
    <w:multiLevelType w:val="hybridMultilevel"/>
    <w:tmpl w:val="24CAB86C"/>
    <w:lvl w:ilvl="0" w:tplc="91E0C0DA">
      <w:start w:val="1"/>
      <w:numFmt w:val="bullet"/>
      <w:lvlText w:val="•"/>
      <w:lvlJc w:val="left"/>
      <w:pPr>
        <w:ind w:left="720" w:hanging="360"/>
      </w:pPr>
    </w:lvl>
    <w:lvl w:ilvl="1" w:tplc="EFE021E0">
      <w:numFmt w:val="decimal"/>
      <w:lvlText w:val=""/>
      <w:lvlJc w:val="left"/>
    </w:lvl>
    <w:lvl w:ilvl="2" w:tplc="E1B47144">
      <w:numFmt w:val="decimal"/>
      <w:lvlText w:val=""/>
      <w:lvlJc w:val="left"/>
    </w:lvl>
    <w:lvl w:ilvl="3" w:tplc="CE229114">
      <w:numFmt w:val="decimal"/>
      <w:lvlText w:val=""/>
      <w:lvlJc w:val="left"/>
    </w:lvl>
    <w:lvl w:ilvl="4" w:tplc="3F4CC266">
      <w:numFmt w:val="decimal"/>
      <w:lvlText w:val=""/>
      <w:lvlJc w:val="left"/>
    </w:lvl>
    <w:lvl w:ilvl="5" w:tplc="4C12E41A">
      <w:numFmt w:val="decimal"/>
      <w:lvlText w:val=""/>
      <w:lvlJc w:val="left"/>
    </w:lvl>
    <w:lvl w:ilvl="6" w:tplc="3A80CC20">
      <w:numFmt w:val="decimal"/>
      <w:lvlText w:val=""/>
      <w:lvlJc w:val="left"/>
    </w:lvl>
    <w:lvl w:ilvl="7" w:tplc="A33815A8">
      <w:numFmt w:val="decimal"/>
      <w:lvlText w:val=""/>
      <w:lvlJc w:val="left"/>
    </w:lvl>
    <w:lvl w:ilvl="8" w:tplc="20A00E1E">
      <w:numFmt w:val="decimal"/>
      <w:lvlText w:val=""/>
      <w:lvlJc w:val="left"/>
    </w:lvl>
  </w:abstractNum>
  <w:abstractNum w:abstractNumId="1" w15:restartNumberingAfterBreak="0">
    <w:nsid w:val="3F5F5829"/>
    <w:multiLevelType w:val="hybridMultilevel"/>
    <w:tmpl w:val="C30EA2E2"/>
    <w:lvl w:ilvl="0" w:tplc="380C9AEE">
      <w:start w:val="1"/>
      <w:numFmt w:val="bullet"/>
      <w:lvlText w:val="●"/>
      <w:lvlJc w:val="left"/>
      <w:pPr>
        <w:ind w:left="720" w:hanging="360"/>
      </w:pPr>
    </w:lvl>
    <w:lvl w:ilvl="1" w:tplc="2D1287B6">
      <w:start w:val="1"/>
      <w:numFmt w:val="bullet"/>
      <w:lvlText w:val="○"/>
      <w:lvlJc w:val="left"/>
      <w:pPr>
        <w:ind w:left="1440" w:hanging="360"/>
      </w:pPr>
    </w:lvl>
    <w:lvl w:ilvl="2" w:tplc="E78EB4EA">
      <w:start w:val="1"/>
      <w:numFmt w:val="bullet"/>
      <w:lvlText w:val="■"/>
      <w:lvlJc w:val="left"/>
      <w:pPr>
        <w:ind w:left="2160" w:hanging="360"/>
      </w:pPr>
    </w:lvl>
    <w:lvl w:ilvl="3" w:tplc="0CE88678">
      <w:start w:val="1"/>
      <w:numFmt w:val="bullet"/>
      <w:lvlText w:val="●"/>
      <w:lvlJc w:val="left"/>
      <w:pPr>
        <w:ind w:left="2880" w:hanging="360"/>
      </w:pPr>
    </w:lvl>
    <w:lvl w:ilvl="4" w:tplc="1AE651E4">
      <w:start w:val="1"/>
      <w:numFmt w:val="bullet"/>
      <w:lvlText w:val="○"/>
      <w:lvlJc w:val="left"/>
      <w:pPr>
        <w:ind w:left="3600" w:hanging="360"/>
      </w:pPr>
    </w:lvl>
    <w:lvl w:ilvl="5" w:tplc="123A9B7C">
      <w:start w:val="1"/>
      <w:numFmt w:val="bullet"/>
      <w:lvlText w:val="■"/>
      <w:lvlJc w:val="left"/>
      <w:pPr>
        <w:ind w:left="4320" w:hanging="360"/>
      </w:pPr>
    </w:lvl>
    <w:lvl w:ilvl="6" w:tplc="54720420">
      <w:start w:val="1"/>
      <w:numFmt w:val="bullet"/>
      <w:lvlText w:val="●"/>
      <w:lvlJc w:val="left"/>
      <w:pPr>
        <w:ind w:left="5040" w:hanging="360"/>
      </w:pPr>
    </w:lvl>
    <w:lvl w:ilvl="7" w:tplc="A0183656">
      <w:start w:val="1"/>
      <w:numFmt w:val="bullet"/>
      <w:lvlText w:val="●"/>
      <w:lvlJc w:val="left"/>
      <w:pPr>
        <w:ind w:left="5760" w:hanging="360"/>
      </w:pPr>
    </w:lvl>
    <w:lvl w:ilvl="8" w:tplc="11FA1596">
      <w:start w:val="1"/>
      <w:numFmt w:val="bullet"/>
      <w:lvlText w:val="●"/>
      <w:lvlJc w:val="left"/>
      <w:pPr>
        <w:ind w:left="6480" w:hanging="360"/>
      </w:pPr>
    </w:lvl>
  </w:abstractNum>
  <w:num w:numId="1" w16cid:durableId="1765952186">
    <w:abstractNumId w:val="1"/>
    <w:lvlOverride w:ilvl="0">
      <w:startOverride w:val="1"/>
    </w:lvlOverride>
  </w:num>
  <w:num w:numId="2" w16cid:durableId="56079690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41F"/>
    <w:rsid w:val="0000241F"/>
    <w:rsid w:val="00781D02"/>
    <w:rsid w:val="00EA6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51B18"/>
  <w15:docId w15:val="{7BDB75E8-036E-45F8-A8EB-2EEF7E1F3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ato" w:eastAsia="Lato" w:hAnsi="Lato" w:cs="Lato"/>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860</Words>
  <Characters>4906</Characters>
  <Application>Microsoft Office Word</Application>
  <DocSecurity>0</DocSecurity>
  <Lines>40</Lines>
  <Paragraphs>11</Paragraphs>
  <ScaleCrop>false</ScaleCrop>
  <Company/>
  <LinksUpToDate>false</LinksUpToDate>
  <CharactersWithSpaces>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Cassandra Earley</cp:lastModifiedBy>
  <cp:revision>2</cp:revision>
  <dcterms:created xsi:type="dcterms:W3CDTF">2026-06-03T17:18:00Z</dcterms:created>
  <dcterms:modified xsi:type="dcterms:W3CDTF">2026-06-03T17:18:00Z</dcterms:modified>
</cp:coreProperties>
</file>